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персонала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«Развитие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«Развитие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824.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требования к воспроизводству квалифицированной рабочей силы</w:t>
            </w:r>
          </w:p>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нормативные документы по организации профессионального образования и внутрифирменного обучения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человеческимиресурсами. Сущность кадрового планирования</w:t>
            </w:r>
          </w:p>
          <w:p>
            <w:pPr>
              <w:jc w:val="both"/>
              <w:spacing w:after="0" w:line="240" w:lineRule="auto"/>
              <w:rPr>
                <w:sz w:val="24"/>
                <w:szCs w:val="24"/>
              </w:rPr>
            </w:pPr>
            <w:r>
              <w:rPr>
                <w:rFonts w:ascii="Times New Roman" w:hAnsi="Times New Roman" w:cs="Times New Roman"/>
                <w:color w:val="#000000"/>
                <w:sz w:val="24"/>
                <w:szCs w:val="24"/>
              </w:rPr>
              <w:t> Алгоритм кадрового планирования   Сущность, принципы и критерии отбора персонала</w:t>
            </w:r>
          </w:p>
          <w:p>
            <w:pPr>
              <w:jc w:val="both"/>
              <w:spacing w:after="0" w:line="240" w:lineRule="auto"/>
              <w:rPr>
                <w:sz w:val="24"/>
                <w:szCs w:val="24"/>
              </w:rPr>
            </w:pPr>
            <w:r>
              <w:rPr>
                <w:rFonts w:ascii="Times New Roman" w:hAnsi="Times New Roman" w:cs="Times New Roman"/>
                <w:color w:val="#000000"/>
                <w:sz w:val="24"/>
                <w:szCs w:val="24"/>
              </w:rPr>
              <w:t> Подбор персонала</w:t>
            </w:r>
          </w:p>
          <w:p>
            <w:pPr>
              <w:jc w:val="both"/>
              <w:spacing w:after="0" w:line="240" w:lineRule="auto"/>
              <w:rPr>
                <w:sz w:val="24"/>
                <w:szCs w:val="24"/>
              </w:rPr>
            </w:pPr>
            <w:r>
              <w:rPr>
                <w:rFonts w:ascii="Times New Roman" w:hAnsi="Times New Roman" w:cs="Times New Roman"/>
                <w:color w:val="#000000"/>
                <w:sz w:val="24"/>
                <w:szCs w:val="24"/>
              </w:rPr>
              <w:t> Методы отбора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потребностей в обучении/развитии персонала. Сущность оценки деятельности персонала</w:t>
            </w:r>
          </w:p>
          <w:p>
            <w:pPr>
              <w:jc w:val="both"/>
              <w:spacing w:after="0" w:line="240" w:lineRule="auto"/>
              <w:rPr>
                <w:sz w:val="24"/>
                <w:szCs w:val="24"/>
              </w:rPr>
            </w:pPr>
            <w:r>
              <w:rPr>
                <w:rFonts w:ascii="Times New Roman" w:hAnsi="Times New Roman" w:cs="Times New Roman"/>
                <w:color w:val="#000000"/>
                <w:sz w:val="24"/>
                <w:szCs w:val="24"/>
              </w:rPr>
              <w:t> Методы оценки деятельности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обучения персонала</w:t>
            </w:r>
          </w:p>
          <w:p>
            <w:pPr>
              <w:jc w:val="both"/>
              <w:spacing w:after="0" w:line="240" w:lineRule="auto"/>
              <w:rPr>
                <w:sz w:val="24"/>
                <w:szCs w:val="24"/>
              </w:rPr>
            </w:pPr>
            <w:r>
              <w:rPr>
                <w:rFonts w:ascii="Times New Roman" w:hAnsi="Times New Roman" w:cs="Times New Roman"/>
                <w:color w:val="#000000"/>
                <w:sz w:val="24"/>
                <w:szCs w:val="24"/>
              </w:rPr>
              <w:t> Процесс обучения персонала</w:t>
            </w:r>
          </w:p>
          <w:p>
            <w:pPr>
              <w:jc w:val="both"/>
              <w:spacing w:after="0" w:line="240" w:lineRule="auto"/>
              <w:rPr>
                <w:sz w:val="24"/>
                <w:szCs w:val="24"/>
              </w:rPr>
            </w:pPr>
            <w:r>
              <w:rPr>
                <w:rFonts w:ascii="Times New Roman" w:hAnsi="Times New Roman" w:cs="Times New Roman"/>
                <w:color w:val="#000000"/>
                <w:sz w:val="24"/>
                <w:szCs w:val="24"/>
              </w:rPr>
              <w:t> Модели обучения персонала</w:t>
            </w:r>
          </w:p>
          <w:p>
            <w:pPr>
              <w:jc w:val="both"/>
              <w:spacing w:after="0" w:line="240" w:lineRule="auto"/>
              <w:rPr>
                <w:sz w:val="24"/>
                <w:szCs w:val="24"/>
              </w:rPr>
            </w:pPr>
            <w:r>
              <w:rPr>
                <w:rFonts w:ascii="Times New Roman" w:hAnsi="Times New Roman" w:cs="Times New Roman"/>
                <w:color w:val="#000000"/>
                <w:sz w:val="24"/>
                <w:szCs w:val="24"/>
              </w:rPr>
              <w:t> Повышение профессионального мастерства менеджеров</w:t>
            </w:r>
          </w:p>
          <w:p>
            <w:pPr>
              <w:jc w:val="both"/>
              <w:spacing w:after="0" w:line="240" w:lineRule="auto"/>
              <w:rPr>
                <w:sz w:val="24"/>
                <w:szCs w:val="24"/>
              </w:rPr>
            </w:pPr>
            <w:r>
              <w:rPr>
                <w:rFonts w:ascii="Times New Roman" w:hAnsi="Times New Roman" w:cs="Times New Roman"/>
                <w:color w:val="#000000"/>
                <w:sz w:val="24"/>
                <w:szCs w:val="24"/>
              </w:rPr>
              <w:t> Подготовка кадровых менеджеров</w:t>
            </w:r>
          </w:p>
        </w:tc>
      </w:tr>
      <w:tr>
        <w:trPr>
          <w:trHeight w:hRule="exact" w:val="515.52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внутрифирменного обучения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методологические принципы и модели внутрифирменного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виды, формы, технологии и методы профессионального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карьеры персонала</w:t>
            </w:r>
          </w:p>
          <w:p>
            <w:pPr>
              <w:jc w:val="both"/>
              <w:spacing w:after="0" w:line="240" w:lineRule="auto"/>
              <w:rPr>
                <w:sz w:val="24"/>
                <w:szCs w:val="24"/>
              </w:rPr>
            </w:pPr>
            <w:r>
              <w:rPr>
                <w:rFonts w:ascii="Times New Roman" w:hAnsi="Times New Roman" w:cs="Times New Roman"/>
                <w:color w:val="#000000"/>
                <w:sz w:val="24"/>
                <w:szCs w:val="24"/>
              </w:rPr>
              <w:t> Этапы карьеры</w:t>
            </w:r>
          </w:p>
          <w:p>
            <w:pPr>
              <w:jc w:val="both"/>
              <w:spacing w:after="0" w:line="240" w:lineRule="auto"/>
              <w:rPr>
                <w:sz w:val="24"/>
                <w:szCs w:val="24"/>
              </w:rPr>
            </w:pPr>
            <w:r>
              <w:rPr>
                <w:rFonts w:ascii="Times New Roman" w:hAnsi="Times New Roman" w:cs="Times New Roman"/>
                <w:color w:val="#000000"/>
                <w:sz w:val="24"/>
                <w:szCs w:val="24"/>
              </w:rPr>
              <w:t> Управление карьерой</w:t>
            </w:r>
          </w:p>
          <w:p>
            <w:pPr>
              <w:jc w:val="both"/>
              <w:spacing w:after="0" w:line="240" w:lineRule="auto"/>
              <w:rPr>
                <w:sz w:val="24"/>
                <w:szCs w:val="24"/>
              </w:rPr>
            </w:pPr>
            <w:r>
              <w:rPr>
                <w:rFonts w:ascii="Times New Roman" w:hAnsi="Times New Roman" w:cs="Times New Roman"/>
                <w:color w:val="#000000"/>
                <w:sz w:val="24"/>
                <w:szCs w:val="24"/>
              </w:rPr>
              <w:t> Принципы карьерного продвижения</w:t>
            </w:r>
          </w:p>
          <w:p>
            <w:pPr>
              <w:jc w:val="both"/>
              <w:spacing w:after="0" w:line="240" w:lineRule="auto"/>
              <w:rPr>
                <w:sz w:val="24"/>
                <w:szCs w:val="24"/>
              </w:rPr>
            </w:pPr>
            <w:r>
              <w:rPr>
                <w:rFonts w:ascii="Times New Roman" w:hAnsi="Times New Roman" w:cs="Times New Roman"/>
                <w:color w:val="#000000"/>
                <w:sz w:val="24"/>
                <w:szCs w:val="24"/>
              </w:rPr>
              <w:t> Факторы торможения карьерного продвижения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кадрового резерва и его типы</w:t>
            </w:r>
          </w:p>
          <w:p>
            <w:pPr>
              <w:jc w:val="both"/>
              <w:spacing w:after="0" w:line="240" w:lineRule="auto"/>
              <w:rPr>
                <w:sz w:val="24"/>
                <w:szCs w:val="24"/>
              </w:rPr>
            </w:pPr>
            <w:r>
              <w:rPr>
                <w:rFonts w:ascii="Times New Roman" w:hAnsi="Times New Roman" w:cs="Times New Roman"/>
                <w:color w:val="#000000"/>
                <w:sz w:val="24"/>
                <w:szCs w:val="24"/>
              </w:rPr>
              <w:t> Этапы работы с кадровым резервом  Критерии включения в резерв</w:t>
            </w:r>
          </w:p>
          <w:p>
            <w:pPr>
              <w:jc w:val="both"/>
              <w:spacing w:after="0" w:line="240" w:lineRule="auto"/>
              <w:rPr>
                <w:sz w:val="24"/>
                <w:szCs w:val="24"/>
              </w:rPr>
            </w:pPr>
            <w:r>
              <w:rPr>
                <w:rFonts w:ascii="Times New Roman" w:hAnsi="Times New Roman" w:cs="Times New Roman"/>
                <w:color w:val="#000000"/>
                <w:sz w:val="24"/>
                <w:szCs w:val="24"/>
              </w:rPr>
              <w:t> Программа «Планирование карьеры»</w:t>
            </w:r>
          </w:p>
          <w:p>
            <w:pPr>
              <w:jc w:val="both"/>
              <w:spacing w:after="0" w:line="240" w:lineRule="auto"/>
              <w:rPr>
                <w:sz w:val="24"/>
                <w:szCs w:val="24"/>
              </w:rPr>
            </w:pPr>
            <w:r>
              <w:rPr>
                <w:rFonts w:ascii="Times New Roman" w:hAnsi="Times New Roman" w:cs="Times New Roman"/>
                <w:color w:val="#000000"/>
                <w:sz w:val="24"/>
                <w:szCs w:val="24"/>
              </w:rPr>
              <w:t> Оценка возможностей развития карьеры</w:t>
            </w:r>
          </w:p>
          <w:p>
            <w:pPr>
              <w:jc w:val="both"/>
              <w:spacing w:after="0" w:line="240" w:lineRule="auto"/>
              <w:rPr>
                <w:sz w:val="24"/>
                <w:szCs w:val="24"/>
              </w:rPr>
            </w:pPr>
            <w:r>
              <w:rPr>
                <w:rFonts w:ascii="Times New Roman" w:hAnsi="Times New Roman" w:cs="Times New Roman"/>
                <w:color w:val="#000000"/>
                <w:sz w:val="24"/>
                <w:szCs w:val="24"/>
              </w:rPr>
              <w:t> Составные элементы программы планирования карьеры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978-5-7882-2364-3.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http://www.iprbookshop.ru/95005.html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68.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2023-2024_ФГОС3++2023_Бак-ОЗФО-УП(ДОП)(23)_plx_Развитие персонала</dc:title>
  <dc:creator>FastReport.NET</dc:creator>
</cp:coreProperties>
</file>